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300A32"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300A32"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383A5E">
        <w:rPr>
          <w:rFonts w:ascii="Times New Roman" w:eastAsia="Calibri" w:hAnsi="Times New Roman" w:cs="Times New Roman"/>
          <w:sz w:val="18"/>
          <w:szCs w:val="18"/>
          <w:lang w:val="ru-RU" w:eastAsia="en-US"/>
        </w:rPr>
        <w:t>01</w:t>
      </w:r>
      <w:r w:rsidR="00890EDC">
        <w:rPr>
          <w:rFonts w:ascii="Times New Roman" w:eastAsia="Calibri" w:hAnsi="Times New Roman" w:cs="Times New Roman"/>
          <w:sz w:val="18"/>
          <w:szCs w:val="18"/>
          <w:lang w:val="ru-RU" w:eastAsia="en-US"/>
        </w:rPr>
        <w:t>.04.0</w:t>
      </w:r>
      <w:r w:rsidR="00383A5E">
        <w:rPr>
          <w:rFonts w:ascii="Times New Roman" w:eastAsia="Calibri" w:hAnsi="Times New Roman" w:cs="Times New Roman"/>
          <w:sz w:val="18"/>
          <w:szCs w:val="18"/>
          <w:lang w:val="ru-RU" w:eastAsia="en-US"/>
        </w:rPr>
        <w:t>2</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383A5E">
        <w:rPr>
          <w:rFonts w:ascii="Times New Roman" w:eastAsia="Calibri" w:hAnsi="Times New Roman" w:cs="Times New Roman"/>
          <w:b/>
          <w:sz w:val="18"/>
          <w:szCs w:val="18"/>
          <w:lang w:val="ru-RU" w:eastAsia="en-US"/>
        </w:rPr>
        <w:t>Прикладная математика и информатика</w:t>
      </w:r>
      <w:r w:rsidRPr="00A824B7">
        <w:rPr>
          <w:rFonts w:ascii="Times New Roman" w:eastAsia="Calibri" w:hAnsi="Times New Roman" w:cs="Times New Roman"/>
          <w:sz w:val="18"/>
          <w:szCs w:val="18"/>
          <w:lang w:val="ru-RU" w:eastAsia="en-US"/>
        </w:rPr>
        <w:t>»</w:t>
      </w:r>
      <w:r w:rsidR="00300A32">
        <w:rPr>
          <w:rFonts w:ascii="Times New Roman" w:eastAsia="Calibri" w:hAnsi="Times New Roman" w:cs="Times New Roman"/>
          <w:sz w:val="18"/>
          <w:szCs w:val="18"/>
          <w:lang w:val="ru-RU" w:eastAsia="en-US"/>
        </w:rPr>
        <w:t xml:space="preserve">, </w:t>
      </w:r>
      <w:r w:rsidR="00300A32" w:rsidRPr="00300A32">
        <w:rPr>
          <w:rFonts w:ascii="Times New Roman" w:eastAsia="Calibri" w:hAnsi="Times New Roman" w:cs="Times New Roman"/>
          <w:b/>
          <w:sz w:val="18"/>
          <w:szCs w:val="18"/>
          <w:lang w:val="ru-RU" w:eastAsia="en-US"/>
        </w:rPr>
        <w:t>образовательная программа «Машинное обучение»</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0B6323" w:rsidRPr="000B6323">
        <w:rPr>
          <w:rFonts w:ascii="Times New Roman" w:eastAsia="Times New Roman" w:hAnsi="Times New Roman" w:cs="Times New Roman"/>
          <w:b/>
          <w:sz w:val="18"/>
          <w:szCs w:val="18"/>
          <w:lang w:val="ru-RU" w:eastAsia="ru-RU" w:bidi="ar-SA"/>
        </w:rPr>
        <w:t>1</w:t>
      </w:r>
      <w:r w:rsidR="00300A32">
        <w:rPr>
          <w:rFonts w:ascii="Times New Roman" w:eastAsia="Times New Roman" w:hAnsi="Times New Roman" w:cs="Times New Roman"/>
          <w:b/>
          <w:sz w:val="18"/>
          <w:szCs w:val="18"/>
          <w:lang w:val="ru-RU" w:eastAsia="ru-RU" w:bidi="ar-SA"/>
        </w:rPr>
        <w:t>9</w:t>
      </w:r>
      <w:r w:rsidR="000B6323" w:rsidRPr="000B6323">
        <w:rPr>
          <w:rFonts w:ascii="Times New Roman" w:eastAsia="Times New Roman" w:hAnsi="Times New Roman" w:cs="Times New Roman"/>
          <w:b/>
          <w:sz w:val="18"/>
          <w:szCs w:val="18"/>
          <w:lang w:val="ru-RU" w:eastAsia="ru-RU" w:bidi="ar-SA"/>
        </w:rPr>
        <w:t>8</w:t>
      </w:r>
      <w:r w:rsidR="00890EDC" w:rsidRPr="00890EDC">
        <w:rPr>
          <w:rFonts w:ascii="Times New Roman" w:eastAsia="Times New Roman" w:hAnsi="Times New Roman" w:cs="Times New Roman"/>
          <w:b/>
          <w:sz w:val="18"/>
          <w:szCs w:val="18"/>
          <w:lang w:val="ru-RU" w:eastAsia="ru-RU" w:bidi="ar-SA"/>
        </w:rPr>
        <w:t> </w:t>
      </w:r>
      <w:r w:rsidR="000B6323">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0B6323">
        <w:rPr>
          <w:rFonts w:ascii="Times New Roman" w:eastAsia="Times New Roman" w:hAnsi="Times New Roman" w:cs="Times New Roman"/>
          <w:b/>
          <w:sz w:val="18"/>
          <w:szCs w:val="18"/>
          <w:lang w:val="ru-RU" w:eastAsia="ru-RU" w:bidi="ar-SA"/>
        </w:rPr>
        <w:t xml:space="preserve">сто </w:t>
      </w:r>
      <w:r w:rsidR="00300A32">
        <w:rPr>
          <w:rFonts w:ascii="Times New Roman" w:eastAsia="Times New Roman" w:hAnsi="Times New Roman" w:cs="Times New Roman"/>
          <w:b/>
          <w:sz w:val="18"/>
          <w:szCs w:val="18"/>
          <w:lang w:val="ru-RU" w:eastAsia="ru-RU" w:bidi="ar-SA"/>
        </w:rPr>
        <w:t xml:space="preserve">девяносто </w:t>
      </w:r>
      <w:r w:rsidR="000B6323">
        <w:rPr>
          <w:rFonts w:ascii="Times New Roman" w:eastAsia="Times New Roman" w:hAnsi="Times New Roman" w:cs="Times New Roman"/>
          <w:b/>
          <w:sz w:val="18"/>
          <w:szCs w:val="18"/>
          <w:lang w:val="ru-RU" w:eastAsia="ru-RU" w:bidi="ar-SA"/>
        </w:rPr>
        <w:t>восемь т</w:t>
      </w:r>
      <w:r w:rsidR="00890EDC">
        <w:rPr>
          <w:rFonts w:ascii="Times New Roman" w:eastAsia="Times New Roman" w:hAnsi="Times New Roman" w:cs="Times New Roman"/>
          <w:b/>
          <w:sz w:val="18"/>
          <w:szCs w:val="18"/>
          <w:lang w:val="ru-RU" w:eastAsia="ru-RU" w:bidi="ar-SA"/>
        </w:rPr>
        <w:t>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0B6323" w:rsidRPr="000B6323">
        <w:rPr>
          <w:rFonts w:ascii="Times New Roman" w:eastAsia="Times New Roman" w:hAnsi="Times New Roman" w:cs="Times New Roman"/>
          <w:b/>
          <w:sz w:val="18"/>
          <w:szCs w:val="18"/>
          <w:lang w:val="ru-RU" w:eastAsia="ru-RU" w:bidi="ar-SA"/>
        </w:rPr>
        <w:t>7</w:t>
      </w:r>
      <w:r w:rsidR="00300A32">
        <w:rPr>
          <w:rFonts w:ascii="Times New Roman" w:eastAsia="Times New Roman" w:hAnsi="Times New Roman" w:cs="Times New Roman"/>
          <w:b/>
          <w:sz w:val="18"/>
          <w:szCs w:val="18"/>
          <w:lang w:val="ru-RU" w:eastAsia="ru-RU" w:bidi="ar-SA"/>
        </w:rPr>
        <w:t>92</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300A32">
        <w:rPr>
          <w:rFonts w:ascii="Times New Roman" w:eastAsia="Times New Roman" w:hAnsi="Times New Roman" w:cs="Times New Roman"/>
          <w:b/>
          <w:sz w:val="18"/>
          <w:szCs w:val="18"/>
          <w:lang w:val="ru-RU" w:eastAsia="ru-RU" w:bidi="ar-SA"/>
        </w:rPr>
        <w:t>девяносто две</w:t>
      </w:r>
      <w:r w:rsidR="00383A5E">
        <w:rPr>
          <w:rFonts w:ascii="Times New Roman" w:eastAsia="Times New Roman" w:hAnsi="Times New Roman" w:cs="Times New Roman"/>
          <w:b/>
          <w:sz w:val="18"/>
          <w:szCs w:val="18"/>
          <w:lang w:val="ru-RU" w:eastAsia="ru-RU" w:bidi="ar-SA"/>
        </w:rPr>
        <w:t xml:space="preserve">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w:t>
      </w:r>
      <w:bookmarkStart w:id="0" w:name="_GoBack"/>
      <w:bookmarkEnd w:id="0"/>
      <w:r w:rsidRPr="006E2E31">
        <w:rPr>
          <w:rFonts w:ascii="Times New Roman" w:eastAsiaTheme="minorHAnsi" w:hAnsi="Times New Roman" w:cs="Times New Roman"/>
          <w:sz w:val="18"/>
          <w:szCs w:val="18"/>
          <w:lang w:val="ru-RU" w:eastAsia="en-US" w:bidi="ar-SA"/>
        </w:rPr>
        <w:t>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w:t>
      </w:r>
      <w:r w:rsidRPr="006E2E31">
        <w:rPr>
          <w:rFonts w:ascii="Times New Roman" w:eastAsiaTheme="minorHAnsi" w:hAnsi="Times New Roman" w:cs="Times New Roman"/>
          <w:sz w:val="18"/>
          <w:szCs w:val="18"/>
          <w:lang w:val="ru-RU" w:eastAsia="en-US" w:bidi="ar-SA"/>
        </w:rPr>
        <w:lastRenderedPageBreak/>
        <w:t>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098" w:rsidRDefault="00D06098" w:rsidP="00131F1D">
      <w:r>
        <w:separator/>
      </w:r>
    </w:p>
  </w:endnote>
  <w:endnote w:type="continuationSeparator" w:id="0">
    <w:p w:rsidR="00D06098" w:rsidRDefault="00D0609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098" w:rsidRDefault="00D06098" w:rsidP="00131F1D">
      <w:r>
        <w:separator/>
      </w:r>
    </w:p>
  </w:footnote>
  <w:footnote w:type="continuationSeparator" w:id="0">
    <w:p w:rsidR="00D06098" w:rsidRDefault="00D06098"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0A32"/>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6098"/>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0B08"/>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4BA2-86FB-4ADF-A2FD-87CC350E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5</cp:revision>
  <cp:lastPrinted>2025-04-11T10:53:00Z</cp:lastPrinted>
  <dcterms:created xsi:type="dcterms:W3CDTF">2025-05-19T13:24:00Z</dcterms:created>
  <dcterms:modified xsi:type="dcterms:W3CDTF">2025-05-19T13:49:00Z</dcterms:modified>
  <dc:language>en-US</dc:language>
</cp:coreProperties>
</file>