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8" w:type="dxa"/>
        <w:jc w:val="center"/>
        <w:tblLook w:val="01E0" w:firstRow="1" w:lastRow="1" w:firstColumn="1" w:lastColumn="1" w:noHBand="0" w:noVBand="0"/>
      </w:tblPr>
      <w:tblGrid>
        <w:gridCol w:w="9868"/>
      </w:tblGrid>
      <w:tr w:rsidR="00EF3190" w:rsidRPr="00EF3190" w:rsidTr="0037499B">
        <w:trPr>
          <w:trHeight w:val="680"/>
          <w:jc w:val="center"/>
        </w:trPr>
        <w:tc>
          <w:tcPr>
            <w:tcW w:w="5000" w:type="pct"/>
          </w:tcPr>
          <w:p w:rsidR="00EF3190" w:rsidRPr="00EF3190" w:rsidRDefault="00EF3190" w:rsidP="00EF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</w:pPr>
            <w:r w:rsidRPr="00EF319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:rsidR="00EF3190" w:rsidRPr="002C393C" w:rsidRDefault="00EF3190" w:rsidP="00EF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3"/>
                <w:szCs w:val="13"/>
                <w:lang w:eastAsia="ru-RU"/>
              </w:rPr>
            </w:pPr>
            <w:r w:rsidRPr="002C393C">
              <w:rPr>
                <w:rFonts w:ascii="Times New Roman" w:eastAsia="Times New Roman" w:hAnsi="Times New Roman" w:cs="Times New Roman"/>
                <w:caps/>
                <w:sz w:val="13"/>
                <w:szCs w:val="13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EF3190" w:rsidRPr="00807C04" w:rsidRDefault="00EF3190" w:rsidP="00EF319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lang w:eastAsia="ru-RU"/>
              </w:rPr>
            </w:pPr>
            <w:r w:rsidRPr="00807C04">
              <w:rPr>
                <w:rFonts w:ascii="Times New Roman" w:eastAsia="Times New Roman" w:hAnsi="Times New Roman" w:cs="Times New Roman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EF3190" w:rsidRPr="00EF3190" w:rsidTr="0037499B">
        <w:trPr>
          <w:trHeight w:val="964"/>
          <w:jc w:val="center"/>
        </w:trPr>
        <w:tc>
          <w:tcPr>
            <w:tcW w:w="5000" w:type="pct"/>
          </w:tcPr>
          <w:p w:rsidR="00EF3190" w:rsidRPr="00807C04" w:rsidRDefault="00EF3190" w:rsidP="00EF319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807C04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Димитровградский инженерно-технологический институт –</w:t>
            </w:r>
          </w:p>
          <w:p w:rsidR="00EF3190" w:rsidRPr="00807C04" w:rsidRDefault="00EF3190" w:rsidP="00EF319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07C0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филиал федерального государственного автономного образовательного учреждения высшего</w:t>
            </w:r>
          </w:p>
          <w:p w:rsidR="00EF3190" w:rsidRPr="00807C04" w:rsidRDefault="00EF3190" w:rsidP="00EF319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07C0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профессионального образования «Национальный исследовательский ядерный университет «МИФИ»</w:t>
            </w:r>
          </w:p>
          <w:p w:rsidR="00EF3190" w:rsidRPr="00EF3190" w:rsidRDefault="00EF3190" w:rsidP="00EF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190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ru-RU"/>
              </w:rPr>
              <w:t>(ДИТИ НИЯУ МИФИ)</w:t>
            </w:r>
          </w:p>
        </w:tc>
      </w:tr>
    </w:tbl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УТВЕРЖДАЮ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Проректор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________________В.В. </w:t>
      </w:r>
      <w:proofErr w:type="spellStart"/>
      <w:r>
        <w:rPr>
          <w:rFonts w:ascii="TimesNewRoman" w:hAnsi="TimesNewRoman" w:cs="TimesNewRoman"/>
          <w:sz w:val="28"/>
          <w:szCs w:val="28"/>
        </w:rPr>
        <w:t>Ужва</w:t>
      </w:r>
      <w:proofErr w:type="spellEnd"/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11D6E" w:rsidRDefault="00B11D6E" w:rsidP="00B11D6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11D6E" w:rsidRDefault="00B11D6E" w:rsidP="00B11D6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СОГЛАСОВАНО</w:t>
      </w:r>
    </w:p>
    <w:p w:rsidR="00730568" w:rsidRDefault="00EF3190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Руководитель ДИТИ НИЯУ МИФИ</w:t>
      </w:r>
      <w:r w:rsidR="00730568">
        <w:rPr>
          <w:rFonts w:ascii="TimesNewRoman" w:hAnsi="TimesNewRoman" w:cs="TimesNewRoman"/>
          <w:sz w:val="28"/>
          <w:szCs w:val="28"/>
        </w:rPr>
        <w:t xml:space="preserve"> 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________________ </w:t>
      </w:r>
      <w:r w:rsidR="00EF3190">
        <w:rPr>
          <w:rFonts w:ascii="TimesNewRoman" w:hAnsi="TimesNewRoman" w:cs="TimesNewRoman"/>
          <w:sz w:val="28"/>
          <w:szCs w:val="28"/>
        </w:rPr>
        <w:t>И.А. Саган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Программа вступительного испытания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по направлению подготовки </w:t>
      </w:r>
      <w:r w:rsidR="002E33EE" w:rsidRPr="002E33EE">
        <w:rPr>
          <w:rFonts w:ascii="TimesNewRoman" w:hAnsi="TimesNewRoman" w:cs="TimesNewRoman"/>
          <w:sz w:val="28"/>
          <w:szCs w:val="28"/>
        </w:rPr>
        <w:t>научно-педагогических кадров в аспирантуре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0</w:t>
      </w:r>
      <w:r w:rsidR="002E33EE">
        <w:rPr>
          <w:rFonts w:ascii="TimesNewRoman,Bold" w:hAnsi="TimesNewRoman,Bold" w:cs="TimesNewRoman,Bold"/>
          <w:b/>
          <w:bCs/>
          <w:sz w:val="28"/>
          <w:szCs w:val="28"/>
        </w:rPr>
        <w:t>9</w:t>
      </w:r>
      <w:r w:rsidRPr="007C7010">
        <w:rPr>
          <w:rFonts w:ascii="TimesNewRoman,Bold" w:hAnsi="TimesNewRoman,Bold" w:cs="TimesNewRoman,Bold"/>
          <w:b/>
          <w:bCs/>
          <w:sz w:val="28"/>
          <w:szCs w:val="28"/>
        </w:rPr>
        <w:t>.06.01</w:t>
      </w:r>
    </w:p>
    <w:p w:rsidR="00730568" w:rsidRPr="00730568" w:rsidRDefault="00730568" w:rsidP="00730568">
      <w:pPr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«</w:t>
      </w:r>
      <w:r w:rsidR="002E33EE">
        <w:rPr>
          <w:rFonts w:ascii="Times New Roman" w:hAnsi="Times New Roman" w:cs="Times New Roman"/>
          <w:b/>
          <w:bCs/>
          <w:spacing w:val="-8"/>
          <w:sz w:val="28"/>
          <w:szCs w:val="28"/>
        </w:rPr>
        <w:t>Информатика и вычислительная техника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»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Форма обучения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Очная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23D87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23D87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E33EE" w:rsidRDefault="002E33E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E33EE" w:rsidRDefault="002E33E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E33EE" w:rsidRDefault="002E33E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E33EE" w:rsidRDefault="002E33E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2E33E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Димитровград</w:t>
      </w:r>
    </w:p>
    <w:p w:rsidR="00730568" w:rsidRDefault="004F3DEA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2016</w:t>
      </w:r>
    </w:p>
    <w:p w:rsidR="002E33EE" w:rsidRDefault="002E33EE">
      <w:pPr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br w:type="page"/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468CC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Программа вступительного испытания сформирована на основе федеральных государственных образовательных стандартов высшего образования. 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D468C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Форма проведения испытания: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Вступительное испытание по направлению подготовки аспирантов «</w:t>
      </w:r>
      <w:r w:rsidR="00EC1AD7" w:rsidRPr="00D468CC">
        <w:rPr>
          <w:rFonts w:ascii="TimesNewRoman" w:hAnsi="TimesNewRoman" w:cs="TimesNewRoman"/>
          <w:sz w:val="24"/>
          <w:szCs w:val="24"/>
        </w:rPr>
        <w:t>Информатика и вычислительная техника</w:t>
      </w:r>
      <w:r w:rsidRPr="00D468CC">
        <w:rPr>
          <w:rFonts w:ascii="TimesNewRoman" w:hAnsi="TimesNewRoman" w:cs="TimesNewRoman"/>
          <w:sz w:val="24"/>
          <w:szCs w:val="24"/>
        </w:rPr>
        <w:t>» проводится в</w:t>
      </w:r>
      <w:r w:rsidRPr="00D468C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виде собеседования с обязательным оформлением ответов на вопросы билета в письменном виде. </w:t>
      </w:r>
      <w:r w:rsidRPr="00D468CC">
        <w:rPr>
          <w:rFonts w:ascii="TimesNewRoman" w:hAnsi="TimesNewRoman" w:cs="TimesNewRoman"/>
          <w:sz w:val="24"/>
          <w:szCs w:val="24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D468C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Структура испытания: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Испытание</w:t>
      </w:r>
      <w:r w:rsidRPr="00D468C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состоит из ответов на вопросы билета и дополнительные вопросы.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D468CC">
        <w:rPr>
          <w:rFonts w:ascii="TimesNewRoman" w:hAnsi="TimesNewRoman" w:cs="TimesNewRoman"/>
          <w:b/>
          <w:sz w:val="24"/>
          <w:szCs w:val="24"/>
        </w:rPr>
        <w:t>Критерии оценки результатов</w:t>
      </w:r>
      <w:r w:rsidRPr="00D468C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испытания</w:t>
      </w:r>
      <w:r w:rsidRPr="00D468CC">
        <w:rPr>
          <w:rFonts w:ascii="TimesNewRoman" w:hAnsi="TimesNewRoman" w:cs="TimesNewRoman"/>
          <w:b/>
          <w:sz w:val="24"/>
          <w:szCs w:val="24"/>
        </w:rPr>
        <w:t>: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 xml:space="preserve">Оценка «отлично» ставится при следующем условии: </w:t>
      </w:r>
    </w:p>
    <w:p w:rsidR="00730568" w:rsidRPr="00D468CC" w:rsidRDefault="00730568" w:rsidP="00EC1A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даны исчерпывающие и обоснованные ответы на вопросы, поставленные экзаменационной комиссией;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 xml:space="preserve">Оценка «хорошо» ставится при следующих условиях: </w:t>
      </w:r>
    </w:p>
    <w:p w:rsidR="00730568" w:rsidRPr="00D468CC" w:rsidRDefault="00730568" w:rsidP="00EC1A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даны полные, достаточно глубокие и обоснованные ответы на вопросы, поставленные экзаменационной комиссией;</w:t>
      </w:r>
    </w:p>
    <w:p w:rsidR="00730568" w:rsidRPr="00D468CC" w:rsidRDefault="00730568" w:rsidP="00EC1A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ответы на вопросы даются полно, но логическая последовательность не всегда соблюдается.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Оценка «удовлетворительно» ставится при следующих условиях:</w:t>
      </w:r>
    </w:p>
    <w:p w:rsidR="00730568" w:rsidRPr="00D468CC" w:rsidRDefault="00730568" w:rsidP="003B1A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даны в основном правильные ответы на вопросы, поставленные</w:t>
      </w:r>
      <w:r w:rsidR="00EC1AD7" w:rsidRPr="00D468CC">
        <w:rPr>
          <w:rFonts w:ascii="TimesNewRoman" w:hAnsi="TimesNewRoman" w:cs="TimesNewRoman"/>
          <w:sz w:val="24"/>
          <w:szCs w:val="24"/>
        </w:rPr>
        <w:t xml:space="preserve"> </w:t>
      </w:r>
      <w:r w:rsidRPr="00D468CC">
        <w:rPr>
          <w:rFonts w:ascii="TimesNewRoman" w:hAnsi="TimesNewRoman" w:cs="TimesNewRoman"/>
          <w:sz w:val="24"/>
          <w:szCs w:val="24"/>
        </w:rPr>
        <w:t>экзаменационной комиссией;</w:t>
      </w:r>
    </w:p>
    <w:p w:rsidR="00730568" w:rsidRPr="00D468CC" w:rsidRDefault="00730568" w:rsidP="00EC1A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ответы на вопросы даются в основном полно, но при слабом логическом оформлении высказываний.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Оценка «неудовлетворительно» ставится в случае, когда не выполнены условия, позволяющие поставить оценку «удовлетворительно».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468CC">
        <w:rPr>
          <w:rFonts w:ascii="TimesNewRoman" w:hAnsi="TimesNewRoman" w:cs="TimesNewRoman"/>
          <w:sz w:val="24"/>
          <w:szCs w:val="24"/>
        </w:rPr>
        <w:t>Решения экзаменационной комиссии принимаются большинством голосов.</w:t>
      </w:r>
    </w:p>
    <w:p w:rsidR="00730568" w:rsidRPr="00D468CC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468CC" w:rsidRPr="00D468CC" w:rsidRDefault="00D468CC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</w:p>
    <w:p w:rsidR="00EC1AD7" w:rsidRPr="00D468CC" w:rsidRDefault="00EC1AD7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C1AD7" w:rsidRPr="00D468CC" w:rsidRDefault="00EC1AD7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12738" w:rsidRPr="00D468CC" w:rsidRDefault="00730568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D468CC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Программа вступительного испытания</w:t>
      </w:r>
    </w:p>
    <w:p w:rsidR="00FD1BDF" w:rsidRPr="00D468CC" w:rsidRDefault="00C12738" w:rsidP="004C36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D468CC">
        <w:rPr>
          <w:rFonts w:ascii="TimesNewRoman,Bold" w:hAnsi="TimesNewRoman,Bold" w:cs="TimesNewRoman,Bold"/>
          <w:b/>
          <w:bCs/>
          <w:sz w:val="24"/>
          <w:szCs w:val="24"/>
        </w:rPr>
        <w:t>Направление:</w:t>
      </w:r>
      <w:r w:rsidR="00730568" w:rsidRPr="00D468CC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FD1BDF" w:rsidRPr="00D468CC">
        <w:rPr>
          <w:rFonts w:ascii="TimesNewRoman,Bold" w:hAnsi="TimesNewRoman,Bold" w:cs="TimesNewRoman,Bold"/>
          <w:b/>
          <w:bCs/>
          <w:sz w:val="24"/>
          <w:szCs w:val="24"/>
        </w:rPr>
        <w:t>0</w:t>
      </w:r>
      <w:r w:rsidR="004C360F" w:rsidRPr="00D468CC">
        <w:rPr>
          <w:rFonts w:ascii="TimesNewRoman,Bold" w:hAnsi="TimesNewRoman,Bold" w:cs="TimesNewRoman,Bold"/>
          <w:b/>
          <w:bCs/>
          <w:sz w:val="24"/>
          <w:szCs w:val="24"/>
        </w:rPr>
        <w:t>9</w:t>
      </w:r>
      <w:r w:rsidR="00FD1BDF" w:rsidRPr="00D468CC">
        <w:rPr>
          <w:rFonts w:ascii="TimesNewRoman,Bold" w:hAnsi="TimesNewRoman,Bold" w:cs="TimesNewRoman,Bold"/>
          <w:b/>
          <w:bCs/>
          <w:sz w:val="24"/>
          <w:szCs w:val="24"/>
        </w:rPr>
        <w:t>.06.01</w:t>
      </w:r>
      <w:r w:rsidR="004C360F" w:rsidRPr="00D468CC">
        <w:rPr>
          <w:rFonts w:ascii="TimesNewRoman,Bold" w:hAnsi="TimesNewRoman,Bold" w:cs="TimesNewRoman,Bold"/>
          <w:b/>
          <w:bCs/>
          <w:sz w:val="24"/>
          <w:szCs w:val="24"/>
        </w:rPr>
        <w:t xml:space="preserve"> - </w:t>
      </w:r>
      <w:r w:rsidR="00FD1BDF" w:rsidRPr="00D468CC">
        <w:rPr>
          <w:rFonts w:ascii="Times New Roman" w:hAnsi="Times New Roman" w:cs="Times New Roman"/>
          <w:b/>
          <w:bCs/>
          <w:spacing w:val="-8"/>
          <w:sz w:val="24"/>
          <w:szCs w:val="24"/>
        </w:rPr>
        <w:t>«</w:t>
      </w:r>
      <w:r w:rsidR="004C360F" w:rsidRPr="00D468CC">
        <w:rPr>
          <w:rFonts w:ascii="Times New Roman" w:hAnsi="Times New Roman" w:cs="Times New Roman"/>
          <w:b/>
          <w:bCs/>
          <w:spacing w:val="-8"/>
          <w:sz w:val="24"/>
          <w:szCs w:val="24"/>
        </w:rPr>
        <w:t>Информатика и вычислительная техника</w:t>
      </w:r>
      <w:r w:rsidR="00FD1BDF" w:rsidRPr="00D468CC">
        <w:rPr>
          <w:rFonts w:ascii="Times New Roman" w:hAnsi="Times New Roman" w:cs="Times New Roman"/>
          <w:b/>
          <w:bCs/>
          <w:spacing w:val="-8"/>
          <w:sz w:val="24"/>
          <w:szCs w:val="24"/>
        </w:rPr>
        <w:t>»</w:t>
      </w:r>
    </w:p>
    <w:p w:rsidR="00FD1BDF" w:rsidRPr="00D468CC" w:rsidRDefault="00FD1BDF" w:rsidP="00FD1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8CC">
        <w:rPr>
          <w:rFonts w:ascii="Times New Roman" w:hAnsi="Times New Roman" w:cs="Times New Roman"/>
          <w:b/>
          <w:bCs/>
          <w:sz w:val="24"/>
          <w:szCs w:val="24"/>
        </w:rPr>
        <w:t>Профиль (направленность)</w:t>
      </w:r>
      <w:r w:rsidR="00C12738" w:rsidRPr="00D468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61C" w:rsidRPr="00D46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61C" w:rsidRPr="00D468CC">
        <w:rPr>
          <w:rFonts w:ascii="Times New Roman" w:hAnsi="Times New Roman" w:cs="Times New Roman"/>
          <w:bCs/>
          <w:sz w:val="24"/>
          <w:szCs w:val="24"/>
        </w:rPr>
        <w:t>МАТЕМАТИЧЕСКОЕ МОДЕЛИРОВАНИЕ, ЧИСЛЕННЫЕ МЕТОДЫ И КОМПЛЕКСЫ ПРОГРАММ</w:t>
      </w:r>
    </w:p>
    <w:p w:rsidR="00B35F85" w:rsidRPr="00D468CC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C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02B2A" w:rsidRPr="00D468CC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1.1 Математическое моделирование и процесс создания математической модели. Основные этапы математического моделирования: 1) построение математической модели; 2) постановка, исследование и решение соответствующей вычислительной задачи; 3) проверка качества (адекватности) модели на практике и модификация модели.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1.2 Теория моделирования сложных систем. Основные понятия теории моделирования сложных систем; классификация видов моделирования; имитационные модели систем; планирование имитационных экспериментов с моделями систем; концептуальные модели систем; принципы построения моделирующих алгоритмов; статистическое моделирование систем на ЭВМ.</w:t>
      </w:r>
    </w:p>
    <w:p w:rsidR="00B35F85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1.3 Математическое моделирование в задачах обработки изображений и компьютерной оптики. Уравнение Гельмгольца. Комплексная амплитуда света. Преобразование Фурье. Интеграл Кирхгофа. Параксиальное уравнение распространения света. Преобразование Френеля.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Гауссовские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пучки. Лазерные моды. Оптическая обработка информации. Пространственные фильтры. Томография. Дифракционные оптические элементы. Методы расчета дифракционной оптики.</w:t>
      </w:r>
    </w:p>
    <w:p w:rsidR="00176CCB" w:rsidRPr="00D468CC" w:rsidRDefault="00176CCB" w:rsidP="00B35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F85" w:rsidRPr="00D468CC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C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02B2A" w:rsidRPr="00D468CC">
        <w:rPr>
          <w:rFonts w:ascii="Times New Roman" w:hAnsi="Times New Roman" w:cs="Times New Roman"/>
          <w:b/>
          <w:sz w:val="24"/>
          <w:szCs w:val="24"/>
        </w:rPr>
        <w:t>Численные методы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2.1. Элементы теории погрешностей. Источники погрешностей численного решения задачи. Приближенные числа. Абсолютная и относительная погрешности. Погрешности арифметических операций. Особенности машинной арифметики.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2.2. Вычислительные задачи, методы, алгоритмы и их основные характеристики. Корректность вычислительной задачи. Обусловленность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вычислительной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задач. Вычислительные методы. Корректность вычислительных алгоритмов. Чувствительность (устойчивость) вычислительных алгоритмов к ошибкам округления. Прямой и обратный анализ ошибок.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2.3. Методы решения нелинейных алгебраических уравнений. Постановка задачи и основные этапы решения. Методы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бисекции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и простой итерации. Метод Ньютона.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2.4. Вычислительные методы линейной алгебры. Нормы векторов и матриц. Прямые методы решения СЛАУ. Итерационные методы решения СЛАУ.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2.5. Методы решения нелинейных систем уравнений. Метод простой итерации. Принцип сжимающих отображений. Метод Ньютона.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2.6. Теория приближения функций. Интерполяция функций. Интерполяционные сплайн функции. Конечные и разделенные разности. Аппроксимация функций. Метод наименьших квадратов. Равномерное приближение функций.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2.7. Численное дифференцирование и интегрирование функций. Формулы численного дифференцирования. Квадратурные формулы.</w:t>
      </w:r>
    </w:p>
    <w:p w:rsidR="00B35F85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2.8. Численные методы решения задачи Коши для обыкновенных дифференциальных уравнений. Метод Эйлера. Методы Рунге-Кутты. Линейные многошаговые методы. Методы Адамса. Приближенно-аналитические методы. Устойчивость численных методов решения задач Коши. Неявный метод Эйлера. Жесткие задачи. Разностные схемы и сходимость. Аппроксимация дифференциальной краевой задачи разностной схемой. Определение устойчивости разностной схемы. Сходимость как следствие аппроксимации и устойчивости.</w:t>
      </w:r>
    </w:p>
    <w:p w:rsidR="00B35F85" w:rsidRPr="00D468CC" w:rsidRDefault="00B35F85" w:rsidP="00B35F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85" w:rsidRPr="00D468CC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CC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02B2A" w:rsidRPr="00D468CC">
        <w:rPr>
          <w:rFonts w:ascii="Times New Roman" w:hAnsi="Times New Roman" w:cs="Times New Roman"/>
          <w:b/>
          <w:sz w:val="24"/>
          <w:szCs w:val="24"/>
        </w:rPr>
        <w:t>Комплексы программ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3.1 Основные понятия и определения комплексов программ (КП). Классификация технологий разработки КП. Модульное программирование, принципы модульного программирования, языки модульного программирования.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3.2. Структурное программирование. Теоретические основы структурного программирования. Языки структурного программирования.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3.3. Объектно-ориентированное программирование. Основные понятия: классы, объекты, понятия наследования свойств и полиморфизма объектов. Языки объектно-ориентированного программирования.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3.4. Логическое программирование.</w:t>
      </w:r>
    </w:p>
    <w:p w:rsidR="00502B2A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3.5. Особенности параллельного программирования. Классификация конфликтных ситуаций.</w:t>
      </w:r>
    </w:p>
    <w:p w:rsidR="00B35F85" w:rsidRPr="00D468CC" w:rsidRDefault="00502B2A" w:rsidP="0050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3.6. Понятие CASE-технологии проектирования и разработки КП.</w:t>
      </w:r>
    </w:p>
    <w:p w:rsidR="00B35F85" w:rsidRPr="00D468CC" w:rsidRDefault="00B35F85" w:rsidP="00B3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F85" w:rsidRPr="00D468CC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CC">
        <w:rPr>
          <w:rFonts w:ascii="Times New Roman" w:hAnsi="Times New Roman" w:cs="Times New Roman"/>
          <w:b/>
          <w:sz w:val="24"/>
          <w:szCs w:val="24"/>
        </w:rPr>
        <w:t>IV. Дополнительные главы математического анализа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Понятие метрического пространства. Полное метрическое пространство. Понятие компакта. Свойства непрерывных функций на компакте.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Линейное нормированное пространство. Гильбертово пространство. Понятие ряда Фурье вектора по ортонормированной системе векторов в гильбертовом пространстве. Полные ортонормированные системы векторов.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Понятие ограниченного линейного функционала на линейном нормированном пространстве.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Понятие линейного оператора (ограниченного, неограниченного) в линейном нормированном пространстве. Норма ограниченного линейного оператора.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Простейшая вариационная задача. Сильный (слабый) экстремум функционала. Вариация функционала. Необходимое условие экстремума. Уравнение Эйлера.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Экстремум функционала, зависящего от старших производных. Уравнение Эйлера-Пуассона.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Экстремум функционала, зависящего от функции нескольких переменных. Уравнение Эйлера-Остроградского.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Понятие о вариационных задачах на условный экстремум.</w:t>
      </w:r>
    </w:p>
    <w:p w:rsidR="00B35F85" w:rsidRPr="00D468CC" w:rsidRDefault="00B35F85" w:rsidP="00B35F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Понятие о методах Эйлера и Ритца.</w:t>
      </w:r>
    </w:p>
    <w:p w:rsidR="00B35F85" w:rsidRPr="00D468CC" w:rsidRDefault="00B35F85" w:rsidP="000C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F85" w:rsidRPr="00D468CC" w:rsidRDefault="00B1769E" w:rsidP="000C1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CC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1769E" w:rsidRPr="00D468CC" w:rsidRDefault="00B1769E" w:rsidP="00B1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1. Куприянов, А.В. Технологии проектирования программных комплексов [Электронный ресурс] : [учеб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особие] / А. В. Куприянов ;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агентство по образованию,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аэрокосм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ун-т им. С. П. Королева. - Электрон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>ан. (1 файл : 24,8 Мбайт). - Самара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Изд-во СГАУ, 2006. -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- (Приоритетные национальные проекты "Образование"). -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>крана. - Электрон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ерсия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публикации. - ISBN 5-7883-0470-9</w:t>
      </w:r>
    </w:p>
    <w:p w:rsidR="00B1769E" w:rsidRPr="00D468CC" w:rsidRDefault="00B1769E" w:rsidP="00B1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 Дискретная математика [Электронный ресурс]: электрон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есты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промежуточ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контроля знаний /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аэрокосм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ун-т им. С. П. Королева (нац.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ун-т); [сост. В. В. Тишин]. - Электрон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>екстовые и граф. дан. (0,84 Мбайт). - Самара: [б. и.], 2011. - 1 эл. опт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иск (CD-ROM). -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с контейнера.</w:t>
      </w:r>
    </w:p>
    <w:p w:rsidR="00B35F85" w:rsidRPr="00D468CC" w:rsidRDefault="00B1769E" w:rsidP="000C180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Параллельные издания: Электронный аналог: Дискретная математика: электрон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есты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промежуточ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контроля знаний /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аэрокосм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ун-т им. С. П. Королева (нац.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ун-т). - Самара, 2011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] (Шифр 519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482-813078) 3. Информатика [Текст]: базовый курс: [учеб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особие для втузов] / под ред. С. В. </w:t>
      </w:r>
      <w:r w:rsidRPr="00D468CC">
        <w:rPr>
          <w:rFonts w:ascii="Times New Roman" w:hAnsi="Times New Roman" w:cs="Times New Roman"/>
          <w:sz w:val="24"/>
          <w:szCs w:val="24"/>
        </w:rPr>
        <w:lastRenderedPageBreak/>
        <w:t>Симоновича. - 3-е изд. - СПБ. [и др.]: Питер, 2014. - 637 с. - (Учебник для вузов) (Стандарт третьего поколения). - ISBN 978-5-496-00217-2.</w:t>
      </w:r>
    </w:p>
    <w:p w:rsidR="000C1802" w:rsidRPr="00D468CC" w:rsidRDefault="000C1802" w:rsidP="000C1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02" w:rsidRPr="00D468CC" w:rsidRDefault="000C1802" w:rsidP="000C1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Востокин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, Сергей Владимирович. Графическая объектная модель параллельных процессов и ее применение в задачах численного моделирования [Текст]: [монография] /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Востокин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Сергей Владимирович. - Самара: Изд-во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науч. центра РАН, 2007. - 286 с. - ISBN 978-5-93424-284-9.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2. Прикладной анализ случайных процессов. Под ред. Прохорова С.А./ СНЦ РАН, 2007. 582 с., ил.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3 Прохоров С.А.,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Графкин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В.В. Структурно-спектральный анализ случайных процессов/ СНЦ РАН, 2010. 147 с., ил 1.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4. Прохоров С.А., Куликовских И.М. Ортогональные модели корреляционно-спектральных характеристик случайных процессов. Лабораторный практикум/ СНЦ РАН, 2008. 301 с. 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Пиявский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, С. А. Математическое моделирование при оптимизации сложных систем [Текст]: монография / С. А.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Пиявский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агентство по образованию,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гос. арх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>строит. ун-т. - Самара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гос. арх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>строит. ун-т., 2008. - 180 с. - ISBN 978-5-9585-0304-9: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Липаев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, Владимир Васильевич. Программная инженерия [Текст] :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методол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основы : [учеб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ля вузов по направлению "Бизнес-информатика" (080700)] / В. В.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Липаев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 ; Гос. ун-т -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экономики. - М.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ТЕИС, 2006. - 606 с. - (Приоритетные национальные проекты "Образование"). - ISBN 5-7598-0424-3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0.00 Инновационная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ГУ ВШЭ "Формирование системы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аналит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компетенций для инноваций в бизнесе и гос. упр." 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7. Шевелев, Юрий Павлович. Дискретная математика [Текст]: [учеб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>особие для вузов по направлению и специальности "Прикладная математика и информатика"] / Ю. П. Шевелев. - СПб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др.] : Лань, 2008. - 591 с. - (Учебники для вузов.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Специальная литература).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- ISBN 978-5-8114-0810-8 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8. Кузнецов, Олег Петрович. Дискретная математика для инженера [Текст] / О. П. Кузнецов. - Изд. 6-е, стер. - СПб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др.] : Лань, 2009. - 395 с. - (Учебники для вузов.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Специальная литература).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- ISBN 978-5-8114-0570-1 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9. Бойков, Илья Владимирович. Оптимальные методы приближенного вычисления интегралов и приближенное решение интегральных уравнений [Текст] : учеб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особие / И. В. Бойков ;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Пенз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8CC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D468CC">
        <w:rPr>
          <w:rFonts w:ascii="Times New Roman" w:hAnsi="Times New Roman" w:cs="Times New Roman"/>
          <w:sz w:val="24"/>
          <w:szCs w:val="24"/>
        </w:rPr>
        <w:t>. ин-т. - Пенза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ППИ, 1981. - 106 с. </w:t>
      </w:r>
    </w:p>
    <w:p w:rsidR="000C1802" w:rsidRPr="00D468CC" w:rsidRDefault="000C1802" w:rsidP="000C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CC">
        <w:rPr>
          <w:rFonts w:ascii="Times New Roman" w:hAnsi="Times New Roman" w:cs="Times New Roman"/>
          <w:sz w:val="24"/>
          <w:szCs w:val="24"/>
        </w:rPr>
        <w:t>10. Самарский, Александр Андреевич. Введение в численные методы [Текст]: учеб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>особие для втузов / А. А. Самарский. - М.</w:t>
      </w:r>
      <w:proofErr w:type="gramStart"/>
      <w:r w:rsidRPr="00D46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8CC">
        <w:rPr>
          <w:rFonts w:ascii="Times New Roman" w:hAnsi="Times New Roman" w:cs="Times New Roman"/>
          <w:sz w:val="24"/>
          <w:szCs w:val="24"/>
        </w:rPr>
        <w:t xml:space="preserve"> Наука, 1982. - 272 с.</w:t>
      </w:r>
    </w:p>
    <w:sectPr w:rsidR="000C1802" w:rsidRPr="00D4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F08D6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92E2EE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A9D2663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6E555B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D015BF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0D934E1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18E52FF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860E8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C3"/>
    <w:rsid w:val="0002255C"/>
    <w:rsid w:val="000615BD"/>
    <w:rsid w:val="000C1802"/>
    <w:rsid w:val="00176CCB"/>
    <w:rsid w:val="001A1119"/>
    <w:rsid w:val="002C393C"/>
    <w:rsid w:val="002E33EE"/>
    <w:rsid w:val="004C360F"/>
    <w:rsid w:val="004F3DEA"/>
    <w:rsid w:val="00502B2A"/>
    <w:rsid w:val="005415C3"/>
    <w:rsid w:val="005441A1"/>
    <w:rsid w:val="006D550F"/>
    <w:rsid w:val="00723118"/>
    <w:rsid w:val="00730568"/>
    <w:rsid w:val="00807C04"/>
    <w:rsid w:val="008C2790"/>
    <w:rsid w:val="00B11D6E"/>
    <w:rsid w:val="00B1769E"/>
    <w:rsid w:val="00B23D87"/>
    <w:rsid w:val="00B35F85"/>
    <w:rsid w:val="00C12738"/>
    <w:rsid w:val="00C34F09"/>
    <w:rsid w:val="00C7098D"/>
    <w:rsid w:val="00D468CC"/>
    <w:rsid w:val="00DF3803"/>
    <w:rsid w:val="00E7261C"/>
    <w:rsid w:val="00EC1AD7"/>
    <w:rsid w:val="00EF3190"/>
    <w:rsid w:val="00F7018D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</w:style>
  <w:style w:type="paragraph" w:styleId="1">
    <w:name w:val="heading 1"/>
    <w:basedOn w:val="a"/>
    <w:link w:val="10"/>
    <w:uiPriority w:val="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</w:style>
  <w:style w:type="paragraph" w:styleId="1">
    <w:name w:val="heading 1"/>
    <w:basedOn w:val="a"/>
    <w:link w:val="10"/>
    <w:uiPriority w:val="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4100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Елена В. Васковская</cp:lastModifiedBy>
  <cp:revision>4</cp:revision>
  <cp:lastPrinted>2016-04-15T05:42:00Z</cp:lastPrinted>
  <dcterms:created xsi:type="dcterms:W3CDTF">2016-04-15T04:56:00Z</dcterms:created>
  <dcterms:modified xsi:type="dcterms:W3CDTF">2016-04-15T05:45:00Z</dcterms:modified>
</cp:coreProperties>
</file>